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C80D58" w:rsidP="00423F93">
            <w:pPr>
              <w:jc w:val="center"/>
            </w:pPr>
            <w:r>
              <w:t>14</w:t>
            </w:r>
            <w:r w:rsidR="00876287">
              <w:t>.10.201</w:t>
            </w:r>
            <w:r w:rsidR="00CA40B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CA40B8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7A6846">
              <w:rPr>
                <w:rFonts w:ascii="Times New Roman" w:hAnsi="Times New Roman" w:cs="Times New Roman"/>
                <w:b/>
              </w:rPr>
              <w:t>-2019 STRATEJİK PLANI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CA40B8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Perşembe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7A6846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7A6846">
              <w:rPr>
                <w:rFonts w:ascii="Times New Roman" w:eastAsia="Calibri" w:hAnsi="Times New Roman" w:cs="Times New Roman"/>
                <w:b/>
                <w:bCs/>
              </w:rPr>
              <w:t>-2019 Yılları Stratejik Plan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7A6846">
              <w:rPr>
                <w:rFonts w:ascii="Times New Roman" w:eastAsia="Calibri" w:hAnsi="Times New Roman" w:cs="Times New Roman"/>
                <w:bCs/>
              </w:rPr>
              <w:t>ını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C76651" w:rsidRPr="00974A4F">
              <w:rPr>
                <w:rFonts w:ascii="Times New Roman" w:hAnsi="Times New Roman" w:cs="Times New Roman"/>
                <w:b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483B9F">
              <w:rPr>
                <w:rFonts w:ascii="Times New Roman" w:hAnsi="Times New Roman" w:cs="Times New Roman"/>
              </w:rPr>
              <w:t>5018 sayılı Kamu Mali Yönetimi ve Kontrol Kanunu’nun 9.maddesi gereğince hazırlanan</w:t>
            </w:r>
            <w:r w:rsidR="00160506">
              <w:rPr>
                <w:rFonts w:ascii="Times New Roman" w:hAnsi="Times New Roman" w:cs="Times New Roman"/>
              </w:rPr>
              <w:t xml:space="preserve"> Büyükçekmece </w:t>
            </w:r>
            <w:proofErr w:type="gramStart"/>
            <w:r w:rsidR="00160506">
              <w:rPr>
                <w:rFonts w:ascii="Times New Roman" w:hAnsi="Times New Roman" w:cs="Times New Roman"/>
              </w:rPr>
              <w:t xml:space="preserve">Belediyesi </w:t>
            </w:r>
            <w:r w:rsidR="00483B9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CA40B8">
              <w:rPr>
                <w:rFonts w:ascii="Times New Roman" w:hAnsi="Times New Roman" w:cs="Times New Roman"/>
              </w:rPr>
              <w:t>5</w:t>
            </w:r>
            <w:proofErr w:type="gramEnd"/>
            <w:r w:rsidR="007A6846">
              <w:rPr>
                <w:rFonts w:ascii="Times New Roman" w:hAnsi="Times New Roman" w:cs="Times New Roman"/>
              </w:rPr>
              <w:t xml:space="preserve">-2019 Yılları Stratejik Planı 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r w:rsidR="007A6846">
              <w:rPr>
                <w:rFonts w:ascii="Times New Roman" w:hAnsi="Times New Roman" w:cs="Times New Roman"/>
              </w:rPr>
              <w:t>12</w:t>
            </w:r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CA40B8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CA40B8">
              <w:rPr>
                <w:rFonts w:ascii="Times New Roman" w:hAnsi="Times New Roman" w:cs="Times New Roman"/>
              </w:rPr>
              <w:t>8</w:t>
            </w:r>
            <w:r w:rsidR="007A6846">
              <w:rPr>
                <w:rFonts w:ascii="Times New Roman" w:hAnsi="Times New Roman" w:cs="Times New Roman"/>
              </w:rPr>
              <w:t>16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Encümen kararı ile </w:t>
            </w:r>
            <w:r w:rsidR="007A6846">
              <w:rPr>
                <w:rFonts w:ascii="Times New Roman" w:hAnsi="Times New Roman" w:cs="Times New Roman"/>
              </w:rPr>
              <w:t>kabul</w:t>
            </w:r>
            <w:r w:rsidR="00EB2030" w:rsidRPr="00974A4F">
              <w:rPr>
                <w:rFonts w:ascii="Times New Roman" w:hAnsi="Times New Roman" w:cs="Times New Roman"/>
              </w:rPr>
              <w:t xml:space="preserve"> 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</w:t>
            </w:r>
            <w:r w:rsidR="00483B9F">
              <w:rPr>
                <w:rFonts w:ascii="Times New Roman" w:hAnsi="Times New Roman" w:cs="Times New Roman"/>
              </w:rPr>
              <w:t xml:space="preserve"> Büyükçekmece Belediyesi</w:t>
            </w:r>
            <w:r w:rsidR="001629BD" w:rsidRPr="00974A4F">
              <w:rPr>
                <w:rFonts w:ascii="Times New Roman" w:hAnsi="Times New Roman" w:cs="Times New Roman"/>
              </w:rPr>
              <w:t xml:space="preserve"> 201</w:t>
            </w:r>
            <w:r w:rsidR="007A6846">
              <w:rPr>
                <w:rFonts w:ascii="Times New Roman" w:hAnsi="Times New Roman" w:cs="Times New Roman"/>
              </w:rPr>
              <w:t xml:space="preserve">5-2019 </w:t>
            </w:r>
            <w:r w:rsidR="001629BD" w:rsidRPr="00974A4F">
              <w:rPr>
                <w:rFonts w:ascii="Times New Roman" w:hAnsi="Times New Roman" w:cs="Times New Roman"/>
              </w:rPr>
              <w:t xml:space="preserve"> yıl</w:t>
            </w:r>
            <w:r w:rsidR="007A6846">
              <w:rPr>
                <w:rFonts w:ascii="Times New Roman" w:hAnsi="Times New Roman" w:cs="Times New Roman"/>
              </w:rPr>
              <w:t>lar</w:t>
            </w:r>
            <w:r w:rsidR="001629BD" w:rsidRPr="00974A4F">
              <w:rPr>
                <w:rFonts w:ascii="Times New Roman" w:hAnsi="Times New Roman" w:cs="Times New Roman"/>
              </w:rPr>
              <w:t xml:space="preserve">ı </w:t>
            </w:r>
            <w:r w:rsidR="007A6846">
              <w:rPr>
                <w:rFonts w:ascii="Times New Roman" w:hAnsi="Times New Roman" w:cs="Times New Roman"/>
              </w:rPr>
              <w:t xml:space="preserve">Stratejik Planı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  <w:r w:rsidR="00483B9F">
              <w:rPr>
                <w:rFonts w:ascii="Times New Roman" w:hAnsi="Times New Roman" w:cs="Times New Roman"/>
              </w:rPr>
              <w:t xml:space="preserve"> Büyükçekmece Belediyesi</w:t>
            </w:r>
            <w:r w:rsidR="00483B9F" w:rsidRPr="00974A4F">
              <w:rPr>
                <w:rFonts w:ascii="Times New Roman" w:hAnsi="Times New Roman" w:cs="Times New Roman"/>
              </w:rPr>
              <w:t xml:space="preserve"> 201</w:t>
            </w:r>
            <w:r w:rsidR="00483B9F">
              <w:rPr>
                <w:rFonts w:ascii="Times New Roman" w:hAnsi="Times New Roman" w:cs="Times New Roman"/>
              </w:rPr>
              <w:t xml:space="preserve">5-2019 </w:t>
            </w:r>
            <w:r w:rsidR="00483B9F" w:rsidRPr="00974A4F">
              <w:rPr>
                <w:rFonts w:ascii="Times New Roman" w:hAnsi="Times New Roman" w:cs="Times New Roman"/>
              </w:rPr>
              <w:t xml:space="preserve"> yıl</w:t>
            </w:r>
            <w:r w:rsidR="00483B9F">
              <w:rPr>
                <w:rFonts w:ascii="Times New Roman" w:hAnsi="Times New Roman" w:cs="Times New Roman"/>
              </w:rPr>
              <w:t>lar</w:t>
            </w:r>
            <w:r w:rsidR="00483B9F" w:rsidRPr="00974A4F">
              <w:rPr>
                <w:rFonts w:ascii="Times New Roman" w:hAnsi="Times New Roman" w:cs="Times New Roman"/>
              </w:rPr>
              <w:t xml:space="preserve">ı </w:t>
            </w:r>
            <w:r w:rsidR="00483B9F">
              <w:rPr>
                <w:rFonts w:ascii="Times New Roman" w:hAnsi="Times New Roman" w:cs="Times New Roman"/>
              </w:rPr>
              <w:t xml:space="preserve">Stratejik Planının katılımcı yöntemlerle iç ve dış paydaşların görüşleri alınarak hazırlandığı, iç paydaş,dış paydaş anket </w:t>
            </w:r>
            <w:r w:rsidR="00FB5138">
              <w:rPr>
                <w:rFonts w:ascii="Times New Roman" w:hAnsi="Times New Roman" w:cs="Times New Roman"/>
              </w:rPr>
              <w:t>ç</w:t>
            </w:r>
            <w:r w:rsidR="00483B9F">
              <w:rPr>
                <w:rFonts w:ascii="Times New Roman" w:hAnsi="Times New Roman" w:cs="Times New Roman"/>
              </w:rPr>
              <w:t>alışmalarının yapıl</w:t>
            </w:r>
            <w:r w:rsidR="00FB5138">
              <w:rPr>
                <w:rFonts w:ascii="Times New Roman" w:hAnsi="Times New Roman" w:cs="Times New Roman"/>
              </w:rPr>
              <w:t xml:space="preserve">dığı, Misyon, Vizyon, Amaç ve Hedefler belirlenirken T.B.M.M. tarafından kabul edilen ve 06/07/2013 tarihli Resmi Gazetede yayımlanan Onuncu Kalkınma </w:t>
            </w:r>
            <w:proofErr w:type="spellStart"/>
            <w:r w:rsidR="00FB5138">
              <w:rPr>
                <w:rFonts w:ascii="Times New Roman" w:hAnsi="Times New Roman" w:cs="Times New Roman"/>
              </w:rPr>
              <w:t>planı’na</w:t>
            </w:r>
            <w:proofErr w:type="spellEnd"/>
            <w:r w:rsidR="00FB5138">
              <w:rPr>
                <w:rFonts w:ascii="Times New Roman" w:hAnsi="Times New Roman" w:cs="Times New Roman"/>
              </w:rPr>
              <w:t xml:space="preserve"> uygun olarak </w:t>
            </w:r>
            <w:r w:rsidR="00160506">
              <w:rPr>
                <w:rFonts w:ascii="Times New Roman" w:hAnsi="Times New Roman" w:cs="Times New Roman"/>
              </w:rPr>
              <w:t xml:space="preserve">belirlendiği </w:t>
            </w:r>
            <w:r w:rsidR="00FB5138">
              <w:rPr>
                <w:rFonts w:ascii="Times New Roman" w:hAnsi="Times New Roman" w:cs="Times New Roman"/>
              </w:rPr>
              <w:t xml:space="preserve"> görüldüğünden</w:t>
            </w:r>
            <w:r w:rsidR="00160506">
              <w:rPr>
                <w:rFonts w:ascii="Times New Roman" w:hAnsi="Times New Roman" w:cs="Times New Roman"/>
              </w:rPr>
              <w:t xml:space="preserve">, Büyükçekmece Belediyesi  </w:t>
            </w:r>
            <w:r w:rsidR="00160506" w:rsidRPr="00974A4F">
              <w:rPr>
                <w:rFonts w:ascii="Times New Roman" w:hAnsi="Times New Roman" w:cs="Times New Roman"/>
              </w:rPr>
              <w:t>201</w:t>
            </w:r>
            <w:r w:rsidR="00160506">
              <w:rPr>
                <w:rFonts w:ascii="Times New Roman" w:hAnsi="Times New Roman" w:cs="Times New Roman"/>
              </w:rPr>
              <w:t xml:space="preserve">5-2019 Yılları Stratejik Planı’nın </w:t>
            </w:r>
            <w:r w:rsidR="00160506" w:rsidRPr="00974A4F">
              <w:rPr>
                <w:rFonts w:ascii="Times New Roman" w:hAnsi="Times New Roman" w:cs="Times New Roman"/>
              </w:rPr>
              <w:t xml:space="preserve"> </w:t>
            </w:r>
            <w:r w:rsidR="00160506">
              <w:rPr>
                <w:rFonts w:ascii="Times New Roman" w:hAnsi="Times New Roman" w:cs="Times New Roman"/>
              </w:rPr>
              <w:t xml:space="preserve"> Büyükçekmece Belediye Encümenince teklif edildiği şekliyle</w:t>
            </w:r>
            <w:r w:rsidR="005F4798">
              <w:rPr>
                <w:rFonts w:ascii="Times New Roman" w:hAnsi="Times New Roman" w:cs="Times New Roman"/>
              </w:rPr>
              <w:t xml:space="preserve"> kabul edilmesine</w:t>
            </w:r>
            <w:r w:rsidR="00160506">
              <w:rPr>
                <w:rFonts w:ascii="Times New Roman" w:hAnsi="Times New Roman" w:cs="Times New Roman"/>
              </w:rPr>
              <w:t xml:space="preserve"> Komisyonumuz tarafından  oy birliği </w:t>
            </w:r>
            <w:r w:rsidR="00FB5138">
              <w:rPr>
                <w:rFonts w:ascii="Times New Roman" w:hAnsi="Times New Roman" w:cs="Times New Roman"/>
              </w:rPr>
              <w:t xml:space="preserve"> </w:t>
            </w:r>
            <w:r w:rsidR="00160506">
              <w:rPr>
                <w:rFonts w:ascii="Times New Roman" w:hAnsi="Times New Roman" w:cs="Times New Roman"/>
              </w:rPr>
              <w:t>ile</w:t>
            </w:r>
            <w:r w:rsidR="00FB5138">
              <w:rPr>
                <w:rFonts w:ascii="Times New Roman" w:hAnsi="Times New Roman" w:cs="Times New Roman"/>
              </w:rPr>
              <w:t xml:space="preserve"> </w:t>
            </w:r>
            <w:r w:rsidR="00160506">
              <w:rPr>
                <w:rFonts w:ascii="Times New Roman" w:hAnsi="Times New Roman" w:cs="Times New Roman"/>
              </w:rPr>
              <w:t>ka</w:t>
            </w:r>
            <w:r w:rsidR="005F4798">
              <w:rPr>
                <w:rFonts w:ascii="Times New Roman" w:hAnsi="Times New Roman" w:cs="Times New Roman"/>
              </w:rPr>
              <w:t>rar verilmiştir.</w:t>
            </w:r>
            <w:r w:rsidR="00483B9F">
              <w:rPr>
                <w:rFonts w:ascii="Times New Roman" w:hAnsi="Times New Roman" w:cs="Times New Roman"/>
              </w:rPr>
              <w:t xml:space="preserve"> </w:t>
            </w:r>
            <w:r w:rsidR="00483B9F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ŞAHİN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tabs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EKİCİ                                                                              Dilek TEKİN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 Vekili                                                                                   Raportör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KANAK                                                                            Ahmet KÜÇÜK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41D3D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proofErr w:type="spellEnd"/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10" w:rsidRDefault="00D84210" w:rsidP="00603676">
      <w:pPr>
        <w:spacing w:after="0" w:line="240" w:lineRule="auto"/>
      </w:pPr>
      <w:r>
        <w:separator/>
      </w:r>
    </w:p>
  </w:endnote>
  <w:endnote w:type="continuationSeparator" w:id="0">
    <w:p w:rsidR="00D84210" w:rsidRDefault="00D84210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491DBC">
    <w:pPr>
      <w:pStyle w:val="Altbilgi"/>
      <w:jc w:val="center"/>
    </w:pPr>
    <w:r w:rsidRPr="00491DBC">
      <w:rPr>
        <w:color w:val="FFFFFF" w:themeColor="background1"/>
      </w:rPr>
    </w:r>
    <w:r w:rsidRPr="00491DBC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491DBC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C80D58" w:rsidRPr="00C80D58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10" w:rsidRDefault="00D84210" w:rsidP="00603676">
      <w:pPr>
        <w:spacing w:after="0" w:line="240" w:lineRule="auto"/>
      </w:pPr>
      <w:r>
        <w:separator/>
      </w:r>
    </w:p>
  </w:footnote>
  <w:footnote w:type="continuationSeparator" w:id="0">
    <w:p w:rsidR="00D84210" w:rsidRDefault="00D84210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84D2C"/>
    <w:rsid w:val="000872C3"/>
    <w:rsid w:val="00097AF6"/>
    <w:rsid w:val="000A1EC4"/>
    <w:rsid w:val="000A31EB"/>
    <w:rsid w:val="000B64EE"/>
    <w:rsid w:val="000C5935"/>
    <w:rsid w:val="00110133"/>
    <w:rsid w:val="00132E53"/>
    <w:rsid w:val="00147FE2"/>
    <w:rsid w:val="00160506"/>
    <w:rsid w:val="001629BD"/>
    <w:rsid w:val="00162E25"/>
    <w:rsid w:val="00167F3A"/>
    <w:rsid w:val="00190792"/>
    <w:rsid w:val="00222BC7"/>
    <w:rsid w:val="00237FAE"/>
    <w:rsid w:val="0027710C"/>
    <w:rsid w:val="00277D61"/>
    <w:rsid w:val="00315617"/>
    <w:rsid w:val="00341D3D"/>
    <w:rsid w:val="00363AE9"/>
    <w:rsid w:val="00387A1B"/>
    <w:rsid w:val="0039050C"/>
    <w:rsid w:val="00393546"/>
    <w:rsid w:val="00393DE7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83B9F"/>
    <w:rsid w:val="00491DBC"/>
    <w:rsid w:val="00492F07"/>
    <w:rsid w:val="00496AF6"/>
    <w:rsid w:val="004C023B"/>
    <w:rsid w:val="004E6BAC"/>
    <w:rsid w:val="004F2040"/>
    <w:rsid w:val="004F6272"/>
    <w:rsid w:val="005011B7"/>
    <w:rsid w:val="0052567B"/>
    <w:rsid w:val="00552ACE"/>
    <w:rsid w:val="00561C3A"/>
    <w:rsid w:val="00563B7C"/>
    <w:rsid w:val="005B712E"/>
    <w:rsid w:val="005F1CE0"/>
    <w:rsid w:val="005F4798"/>
    <w:rsid w:val="00603676"/>
    <w:rsid w:val="00650309"/>
    <w:rsid w:val="00662CFF"/>
    <w:rsid w:val="006666FD"/>
    <w:rsid w:val="00671DAA"/>
    <w:rsid w:val="00690A08"/>
    <w:rsid w:val="006C1446"/>
    <w:rsid w:val="006D5FD9"/>
    <w:rsid w:val="006E552D"/>
    <w:rsid w:val="007330BE"/>
    <w:rsid w:val="00757844"/>
    <w:rsid w:val="007A6846"/>
    <w:rsid w:val="008029BA"/>
    <w:rsid w:val="00827619"/>
    <w:rsid w:val="00854DEF"/>
    <w:rsid w:val="00857633"/>
    <w:rsid w:val="00876287"/>
    <w:rsid w:val="008A6D26"/>
    <w:rsid w:val="008E7722"/>
    <w:rsid w:val="008F61FA"/>
    <w:rsid w:val="00941569"/>
    <w:rsid w:val="009551E9"/>
    <w:rsid w:val="00974A4F"/>
    <w:rsid w:val="009830CE"/>
    <w:rsid w:val="0099523F"/>
    <w:rsid w:val="00995EB9"/>
    <w:rsid w:val="009B356E"/>
    <w:rsid w:val="009E73F0"/>
    <w:rsid w:val="00A57337"/>
    <w:rsid w:val="00AA4B41"/>
    <w:rsid w:val="00AD5F5D"/>
    <w:rsid w:val="00B05A2A"/>
    <w:rsid w:val="00B1796A"/>
    <w:rsid w:val="00B17D0C"/>
    <w:rsid w:val="00B222E9"/>
    <w:rsid w:val="00B25890"/>
    <w:rsid w:val="00B5255C"/>
    <w:rsid w:val="00B538FC"/>
    <w:rsid w:val="00B90676"/>
    <w:rsid w:val="00B94513"/>
    <w:rsid w:val="00BA3635"/>
    <w:rsid w:val="00BB56EB"/>
    <w:rsid w:val="00BE6DC4"/>
    <w:rsid w:val="00C22667"/>
    <w:rsid w:val="00C40B0C"/>
    <w:rsid w:val="00C451B4"/>
    <w:rsid w:val="00C56B46"/>
    <w:rsid w:val="00C76651"/>
    <w:rsid w:val="00C80D58"/>
    <w:rsid w:val="00CA40B8"/>
    <w:rsid w:val="00CA7F4E"/>
    <w:rsid w:val="00CB3D3E"/>
    <w:rsid w:val="00D84210"/>
    <w:rsid w:val="00D9698A"/>
    <w:rsid w:val="00DD6E9C"/>
    <w:rsid w:val="00E14371"/>
    <w:rsid w:val="00E83F65"/>
    <w:rsid w:val="00EB2030"/>
    <w:rsid w:val="00ED772D"/>
    <w:rsid w:val="00F11F61"/>
    <w:rsid w:val="00F22DD0"/>
    <w:rsid w:val="00FA5270"/>
    <w:rsid w:val="00FB5138"/>
    <w:rsid w:val="00F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FC27-E22D-422E-A237-86C2B237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32</cp:revision>
  <cp:lastPrinted>2013-10-09T14:51:00Z</cp:lastPrinted>
  <dcterms:created xsi:type="dcterms:W3CDTF">2013-03-07T12:56:00Z</dcterms:created>
  <dcterms:modified xsi:type="dcterms:W3CDTF">2014-10-13T11:34:00Z</dcterms:modified>
</cp:coreProperties>
</file>